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14393" w:rsidRDefault="00135934">
      <w:pPr>
        <w:pStyle w:val="Title"/>
      </w:pPr>
      <w:r>
        <w:t>Οξύτητα του ελαιολάδου</w:t>
      </w:r>
    </w:p>
    <w:p w:rsidR="00000000" w:rsidRDefault="00135934">
      <w:pPr>
        <w:pStyle w:val="Title"/>
        <w:jc w:val="left"/>
        <w:rPr>
          <w:sz w:val="24"/>
        </w:rPr>
      </w:pPr>
    </w:p>
    <w:p w:rsidR="00000000" w:rsidRDefault="00135934">
      <w:pPr>
        <w:pStyle w:val="Title"/>
        <w:jc w:val="left"/>
        <w:rPr>
          <w:i/>
          <w:sz w:val="24"/>
          <w:u w:val="single"/>
        </w:rPr>
      </w:pPr>
      <w:r>
        <w:rPr>
          <w:i/>
          <w:sz w:val="24"/>
        </w:rPr>
        <w:t>Ερ. Γιακουμάκης, Γ. Καπελώνης, Μπ. Καρακώστας</w:t>
      </w:r>
    </w:p>
    <w:p w:rsidR="00000000" w:rsidRDefault="00135934">
      <w:pPr>
        <w:jc w:val="both"/>
        <w:rPr>
          <w:rFonts w:ascii="Times New Roman" w:hAnsi="Times New Roman"/>
          <w:b/>
        </w:rPr>
      </w:pPr>
    </w:p>
    <w:p w:rsidR="00000000" w:rsidRDefault="001359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Εισαγωγικά: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Το ελαιόλαδο είναι μίγμα εστέρων της γλυκερίνης με οργανικά (λιπαρά) οξέα, κυρίως ελαϊκό (ακόρεστο), στεατικό και παλμιτικό (κορεσμένα). Οι εστέρες αυτοί, λόγω υδρόλυσης, δ</w:t>
      </w:r>
      <w:r>
        <w:rPr>
          <w:rFonts w:ascii="Times New Roman" w:hAnsi="Times New Roman"/>
        </w:rPr>
        <w:t xml:space="preserve">ιασπώνται εν μέρει σε γλυκερίνη και ελεύθερα οξέα. Η παρουσία ελεύθερων οξέων μειώνει την ποιότητα του ελαιολάδου. </w:t>
      </w:r>
    </w:p>
    <w:p w:rsidR="00000000" w:rsidRDefault="00135934">
      <w:pPr>
        <w:pStyle w:val="BodyTextIndent"/>
      </w:pPr>
      <w:r>
        <w:t xml:space="preserve">Κύριος δείκτης ποιότητας του ελαιολάδου, αλλά και των άλλων λιπαρών ουσιών, είναι ο αριθμός υπεροξειδίου, που είναι το μέτρο του βαθμού της </w:t>
      </w:r>
      <w:r>
        <w:t>ταγγίσεώς του και στη βιομηχανία χρησιμοποιείται σε συνδυασμό με την οξύτητα. Όμως στο εμπόριο ελαιολάδου έχει επικρατήσει να χρησιμοποιείται ως δείκτης ποιότητας η ογκομετρουμένη οξύτητα. Αυτό οφείλεται στο γεγονός, ότι ο προσδιορισμός της ογκομετρουμένης</w:t>
      </w:r>
      <w:r>
        <w:t xml:space="preserve"> οξύτητας στο ελαιόλαδο είναι πολύ πιο εύκολος από τον προσδιορισμό του αριθμού υπεροξειδίου. </w:t>
      </w: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Η επί τοις 100 κατά βάρος περιεκτικότητα του ελαιολάδου σε ελεύθερα οξέα ονομάζεται οξύτητα</w:t>
      </w:r>
      <w:r>
        <w:rPr>
          <w:rFonts w:ascii="Times New Roman" w:hAnsi="Times New Roman"/>
        </w:rPr>
        <w:t>. Όταν στην ετικέτα του ελαιολάδου που αγοράζουμε αναγράφεται π. χ. οξ</w:t>
      </w:r>
      <w:r>
        <w:rPr>
          <w:rFonts w:ascii="Times New Roman" w:hAnsi="Times New Roman"/>
        </w:rPr>
        <w:t xml:space="preserve">ύτητα 0,5 % κ. β. (5 γραμμές κατά τον παραγωγό ) αυτό σημαίνει ότι σε 100 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του ελαιολάδου, περιέχονται 0,5 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ελεύθερων λιπαρών οξέων. </w:t>
      </w: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Eπειδή τα λιπαρά οξέα που περιέχονται σε κάθε δείγμα ελαιολάδου ποικίλουν ποιοτικά και ποσοτικά, για τον προσδιορισμό τη</w:t>
      </w:r>
      <w:r>
        <w:rPr>
          <w:rFonts w:ascii="Times New Roman" w:hAnsi="Times New Roman"/>
        </w:rPr>
        <w:t xml:space="preserve">ς οξύτητας του ελαιολάδου δεχόμαστε ότι η συνολική ποσότητα των ελεύθερων λιπαρών του οξέων υπάρχει αποκλειστικά με τη μορφή του ελαϊκού οξέος,  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3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</w:rPr>
        <w:t>=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  <w:lang w:val="en-US"/>
        </w:rPr>
        <w:t>CH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vertAlign w:val="subscript"/>
        </w:rPr>
        <w:t>7</w:t>
      </w:r>
      <w:r>
        <w:rPr>
          <w:rFonts w:ascii="Times New Roman" w:hAnsi="Times New Roman"/>
          <w:lang w:val="en-US"/>
        </w:rPr>
        <w:t>COOH</w:t>
      </w:r>
      <w:r>
        <w:rPr>
          <w:rFonts w:ascii="Times New Roman" w:hAnsi="Times New Roman"/>
        </w:rPr>
        <w:t xml:space="preserve"> ή πιο απλά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vertAlign w:val="subscript"/>
        </w:rPr>
        <w:t>17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33</w:t>
      </w:r>
      <w:r>
        <w:rPr>
          <w:rFonts w:ascii="Times New Roman" w:hAnsi="Times New Roman"/>
          <w:lang w:val="en-US"/>
        </w:rPr>
        <w:t>COOH</w:t>
      </w:r>
      <w:r>
        <w:rPr>
          <w:rFonts w:ascii="Times New Roman" w:hAnsi="Times New Roman"/>
        </w:rPr>
        <w:t xml:space="preserve"> (Μ</w:t>
      </w:r>
      <w:r>
        <w:rPr>
          <w:rFonts w:ascii="Times New Roman" w:hAnsi="Times New Roman"/>
          <w:vertAlign w:val="subscript"/>
          <w:lang w:val="en-US"/>
        </w:rPr>
        <w:t>r</w:t>
      </w:r>
      <w:r>
        <w:rPr>
          <w:rFonts w:ascii="Times New Roman" w:hAnsi="Times New Roman"/>
        </w:rPr>
        <w:t xml:space="preserve">=282). </w:t>
      </w: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Για τον προσδιορισμό της ποσότητας των οξέων στο δείγ</w:t>
      </w:r>
      <w:r>
        <w:rPr>
          <w:rFonts w:ascii="Times New Roman" w:hAnsi="Times New Roman"/>
        </w:rPr>
        <w:t xml:space="preserve">μα του ελαιολάδου χρησιμοποιείται η μέθοδος της ογκομέτρησης εξουδετέρωσης. Το δείγμα διαλύεται αρχικά σε μίγμα αιθανόλης – αιθέρα και στη συνέχεια ογκομετρείται με πρότυπο διάλυμα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και δείκτη φαινολοφθαλεΐνη. </w:t>
      </w:r>
    </w:p>
    <w:p w:rsidR="00000000" w:rsidRDefault="00135934">
      <w:pPr>
        <w:ind w:firstLine="720"/>
        <w:jc w:val="both"/>
        <w:rPr>
          <w:rFonts w:ascii="Times New Roman" w:hAnsi="Times New Roman"/>
        </w:rPr>
      </w:pPr>
    </w:p>
    <w:p w:rsidR="00000000" w:rsidRDefault="00135934">
      <w:pPr>
        <w:jc w:val="both"/>
        <w:rPr>
          <w:rFonts w:ascii="Times New Roman" w:hAnsi="Times New Roman"/>
          <w:b/>
          <w:u w:val="single"/>
        </w:rPr>
      </w:pPr>
    </w:p>
    <w:p w:rsidR="00000000" w:rsidRDefault="001359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Διαδικασία:</w:t>
      </w:r>
    </w:p>
    <w:p w:rsidR="00000000" w:rsidRDefault="00135934">
      <w:pPr>
        <w:jc w:val="both"/>
        <w:rPr>
          <w:rFonts w:ascii="Times New Roman" w:hAnsi="Times New Roman"/>
          <w:b/>
        </w:rPr>
      </w:pPr>
    </w:p>
    <w:p w:rsidR="00000000" w:rsidRDefault="00135934">
      <w:pPr>
        <w:pStyle w:val="Heading1"/>
      </w:pPr>
      <w:r>
        <w:t xml:space="preserve">Α. Στο χημικό εργαστήριο 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Ζυγίζουμε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= 10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ελαιολάδου μέσα σε κωνική φιάλη. Προσθέτουμε 25 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αιθανόλης, 25 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αιθέρα, και σταγόνες φαινολοφθαλεΐνης. Ανακατεύουμε καλά για τη διάλυση του ελαιολάδου και το ογκομετρούμε με διάλυμα ΝaΟΗ γνωστής μοριακότητας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</w:rPr>
        <w:t xml:space="preserve"> (0,1Μ) μέχρι να εμφανισ</w:t>
      </w:r>
      <w:r>
        <w:rPr>
          <w:rFonts w:ascii="Times New Roman" w:hAnsi="Times New Roman"/>
        </w:rPr>
        <w:t xml:space="preserve">τεί το ρόδινο χρώμα στο διάλυμα. </w:t>
      </w:r>
    </w:p>
    <w:p w:rsidR="00000000" w:rsidRDefault="001359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Αν καταναλώθηκαν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από το διάλυμα του 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>ΟΗ τότε η οξύτητα του ελαιολάδου σε ελαϊκό υπολογίζεται ως εξής: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vertAlign w:val="subscript"/>
        </w:rPr>
        <w:t>17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33</w:t>
      </w:r>
      <w:r>
        <w:rPr>
          <w:rFonts w:ascii="Times New Roman" w:hAnsi="Times New Roman"/>
          <w:lang w:val="en-US"/>
        </w:rPr>
        <w:t>COOH</w:t>
      </w:r>
      <w:r>
        <w:rPr>
          <w:rFonts w:ascii="Times New Roman" w:hAnsi="Times New Roman"/>
        </w:rPr>
        <w:t xml:space="preserve"> + 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ΟΗ </w:t>
      </w:r>
      <w:r>
        <w:rPr>
          <w:rFonts w:ascii="Times New Roman" w:hAnsi="Times New Roman"/>
          <w:lang w:val="en-US"/>
        </w:rPr>
        <w:sym w:font="Symbol" w:char="F0AE"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vertAlign w:val="subscript"/>
        </w:rPr>
        <w:t>17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33</w:t>
      </w:r>
      <w:r>
        <w:rPr>
          <w:rFonts w:ascii="Times New Roman" w:hAnsi="Times New Roman"/>
          <w:lang w:val="en-US"/>
        </w:rPr>
        <w:t>COO</w:t>
      </w:r>
      <w:r>
        <w:rPr>
          <w:rFonts w:ascii="Times New Roman" w:hAnsi="Times New Roman"/>
        </w:rPr>
        <w:t>Ν</w:t>
      </w:r>
      <w:r>
        <w:rPr>
          <w:rFonts w:ascii="Times New Roman" w:hAnsi="Times New Roman"/>
          <w:lang w:val="en-US"/>
        </w:rPr>
        <w:t>a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lang w:val="en-US"/>
        </w:rPr>
        <w:t>H</w:t>
      </w:r>
      <w:r>
        <w:rPr>
          <w:rFonts w:ascii="Times New Roman" w:hAnsi="Times New Roman"/>
          <w:vertAlign w:val="subscript"/>
        </w:rPr>
        <w:t>2</w:t>
      </w:r>
      <w:r>
        <w:rPr>
          <w:rFonts w:ascii="Times New Roman" w:hAnsi="Times New Roman"/>
          <w:lang w:val="en-US"/>
        </w:rPr>
        <w:t>O</w:t>
      </w:r>
    </w:p>
    <w:p w:rsidR="00000000" w:rsidRPr="00414393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mmol</w:t>
      </w:r>
      <w:r>
        <w:rPr>
          <w:rFonts w:ascii="Times New Roman" w:hAnsi="Times New Roman"/>
        </w:rPr>
        <w:t xml:space="preserve">) οξέος  =  </w:t>
      </w:r>
      <w:r>
        <w:rPr>
          <w:rFonts w:ascii="Times New Roman" w:hAnsi="Times New Roman"/>
          <w:lang w:val="en-US"/>
        </w:rPr>
        <w:t>n</w: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mmol</w:t>
      </w:r>
      <w:r>
        <w:rPr>
          <w:rFonts w:ascii="Times New Roman" w:hAnsi="Times New Roman"/>
        </w:rPr>
        <w:t xml:space="preserve">) βάσης = </w:t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</w:t>
      </w:r>
    </w:p>
    <w:p w:rsidR="00000000" w:rsidRPr="00414393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  <w:vertAlign w:val="subscript"/>
        </w:rPr>
        <w:t>ελαϊκού</w:t>
      </w:r>
      <w:r>
        <w:rPr>
          <w:rFonts w:ascii="Times New Roman" w:hAnsi="Times New Roman"/>
        </w:rPr>
        <w:t xml:space="preserve"> = </w:t>
      </w:r>
      <w:r>
        <w:rPr>
          <w:rFonts w:ascii="Times New Roman" w:hAnsi="Times New Roman"/>
          <w:lang w:val="en-US"/>
        </w:rPr>
        <w:t>CV</w:t>
      </w:r>
      <w:r>
        <w:rPr>
          <w:rFonts w:ascii="Times New Roman" w:hAnsi="Times New Roman"/>
          <w:lang w:val="en-US"/>
        </w:rPr>
        <w:sym w:font="Symbol" w:char="F0D7"/>
      </w:r>
      <w:r w:rsidRPr="00414393">
        <w:rPr>
          <w:rFonts w:ascii="Times New Roman" w:hAnsi="Times New Roman"/>
        </w:rPr>
        <w:t>10</w:t>
      </w:r>
      <w:r w:rsidRPr="00414393">
        <w:rPr>
          <w:rFonts w:ascii="Times New Roman" w:hAnsi="Times New Roman"/>
          <w:vertAlign w:val="superscript"/>
        </w:rPr>
        <w:t>-3</w:t>
      </w:r>
      <w:r w:rsidRPr="004143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sym w:font="Symbol" w:char="F0D7"/>
      </w:r>
      <w:r w:rsidRPr="00414393">
        <w:rPr>
          <w:rFonts w:ascii="Times New Roman" w:hAnsi="Times New Roman"/>
        </w:rPr>
        <w:t xml:space="preserve"> 282 = 0,282</w:t>
      </w:r>
      <w:r>
        <w:rPr>
          <w:rFonts w:ascii="Times New Roman" w:hAnsi="Times New Roman"/>
          <w:lang w:val="en-US"/>
        </w:rPr>
        <w:sym w:font="Symbol" w:char="F0D7"/>
      </w:r>
      <w:r>
        <w:rPr>
          <w:rFonts w:ascii="Times New Roman" w:hAnsi="Times New Roman"/>
          <w:lang w:val="en-US"/>
        </w:rPr>
        <w:t>C</w:t>
      </w:r>
      <w:r>
        <w:rPr>
          <w:rFonts w:ascii="Times New Roman" w:hAnsi="Times New Roman"/>
          <w:lang w:val="en-US"/>
        </w:rPr>
        <w:t>V</w:t>
      </w:r>
      <w:r w:rsidRPr="0041439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g</w:t>
      </w:r>
    </w:p>
    <w:p w:rsidR="00000000" w:rsidRPr="00414393" w:rsidRDefault="00135934">
      <w:pPr>
        <w:ind w:firstLine="720"/>
        <w:jc w:val="both"/>
        <w:rPr>
          <w:rFonts w:ascii="Times New Roman" w:hAnsi="Times New Roman"/>
        </w:rPr>
      </w:pP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Οξύτητα % = </w:t>
      </w:r>
      <w:r>
        <w:rPr>
          <w:rFonts w:ascii="Times New Roman" w:hAnsi="Times New Roman"/>
          <w:position w:val="-30"/>
        </w:rPr>
        <w:object w:dxaOrig="284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1.75pt;height:33.75pt" o:ole="" fillcolor="window">
            <v:imagedata r:id="rId7" o:title=""/>
          </v:shape>
          <o:OLEObject Type="Embed" ProgID="Equation.3" ShapeID="_x0000_i1025" DrawAspect="Content" ObjectID="_1483211485" r:id="rId8"/>
        </w:object>
      </w:r>
      <w:r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ελαϊκού / 100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ελαιολάδου)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pStyle w:val="Heading1"/>
      </w:pPr>
      <w:r>
        <w:t>Β. Στα ελαιοτριβεία και το εμπόριο</w:t>
      </w:r>
    </w:p>
    <w:p w:rsidR="00000000" w:rsidRDefault="00135934">
      <w:pPr>
        <w:jc w:val="both"/>
        <w:rPr>
          <w:rFonts w:ascii="Times New Roman" w:hAnsi="Times New Roman"/>
          <w:b/>
          <w:u w:val="single"/>
        </w:rPr>
      </w:pPr>
    </w:p>
    <w:p w:rsidR="00000000" w:rsidRDefault="001359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Στα ελαιοτριβεία και στο εμπόριο χρησιμοποιούνται:</w:t>
      </w:r>
    </w:p>
    <w:p w:rsidR="00000000" w:rsidRDefault="0013593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Ειδική μεζούρα για τη μέτρηση όγκου 11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που αντιστοιχούν σε 10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δείγματος (11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x</w:t>
      </w:r>
      <w:r>
        <w:rPr>
          <w:rFonts w:ascii="Times New Roman" w:hAnsi="Times New Roman"/>
        </w:rPr>
        <w:t xml:space="preserve"> 0,916 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>/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= 1</w:t>
      </w:r>
      <w:r>
        <w:rPr>
          <w:rFonts w:ascii="Times New Roman" w:hAnsi="Times New Roman"/>
        </w:rPr>
        <w:t xml:space="preserve">0 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>).</w:t>
      </w:r>
    </w:p>
    <w:p w:rsidR="00000000" w:rsidRDefault="0013593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Ως διαλύτης συνήθως μόνο αιθανόλη.</w:t>
      </w:r>
    </w:p>
    <w:p w:rsidR="00000000" w:rsidRDefault="00135934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Έτοιμο τυποποιημένο διάλυμα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0,357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. (H συγκέντρωση ΝaΟΗ είναι τέτοια που για </w:t>
      </w:r>
      <w:r>
        <w:rPr>
          <w:rFonts w:ascii="Times New Roman" w:hAnsi="Times New Roman"/>
          <w:u w:val="single"/>
        </w:rPr>
        <w:t xml:space="preserve">κάθε </w:t>
      </w:r>
      <w:r>
        <w:rPr>
          <w:rFonts w:ascii="Times New Roman" w:hAnsi="Times New Roman"/>
          <w:u w:val="single"/>
          <w:lang w:val="en-US"/>
        </w:rPr>
        <w:t>mL</w:t>
      </w:r>
      <w:r>
        <w:rPr>
          <w:rFonts w:ascii="Times New Roman" w:hAnsi="Times New Roman"/>
          <w:u w:val="single"/>
        </w:rPr>
        <w:t xml:space="preserve"> που χρησιμοποιείται</w:t>
      </w:r>
      <w:r>
        <w:rPr>
          <w:rFonts w:ascii="Times New Roman" w:hAnsi="Times New Roman"/>
        </w:rPr>
        <w:t>, για 10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δείγματος λαδιού, </w:t>
      </w:r>
      <w:r>
        <w:rPr>
          <w:rFonts w:ascii="Times New Roman" w:hAnsi="Times New Roman"/>
          <w:u w:val="single"/>
        </w:rPr>
        <w:t>να αντιστοιχεί οξύτητα ενός βαθμού</w:t>
      </w:r>
      <w:r>
        <w:rPr>
          <w:rFonts w:ascii="Times New Roman" w:hAnsi="Times New Roman"/>
        </w:rPr>
        <w:t xml:space="preserve">. Αυτό υπολογίζεται από την (1) με </w:t>
      </w:r>
      <w:r>
        <w:rPr>
          <w:rFonts w:ascii="Times New Roman" w:hAnsi="Times New Roman"/>
          <w:i/>
          <w:lang w:val="en-US"/>
        </w:rPr>
        <w:t>x</w:t>
      </w:r>
      <w:r>
        <w:rPr>
          <w:rFonts w:ascii="Times New Roman" w:hAnsi="Times New Roman"/>
        </w:rPr>
        <w:t xml:space="preserve"> = 1% 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</w:t>
      </w:r>
      <w:r>
        <w:rPr>
          <w:rFonts w:ascii="Times New Roman" w:hAnsi="Times New Roman"/>
        </w:rPr>
        <w:t xml:space="preserve"> = 1 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=10 </w:t>
      </w:r>
      <w:r>
        <w:rPr>
          <w:rFonts w:ascii="Times New Roman" w:hAnsi="Times New Roman"/>
          <w:lang w:val="en-US"/>
        </w:rPr>
        <w:t>g</w:t>
      </w:r>
      <w:r>
        <w:rPr>
          <w:rFonts w:ascii="Times New Roman" w:hAnsi="Times New Roman"/>
        </w:rPr>
        <w:t xml:space="preserve"> και προκύπτει για το διάλυμα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συγκέντρωση 0,357 Μ).</w:t>
      </w:r>
    </w:p>
    <w:p w:rsidR="00000000" w:rsidRDefault="00135934">
      <w:pPr>
        <w:jc w:val="both"/>
        <w:rPr>
          <w:rFonts w:ascii="Times New Roman" w:hAnsi="Times New Roman"/>
          <w:b/>
          <w:u w:val="single"/>
        </w:rPr>
      </w:pPr>
    </w:p>
    <w:p w:rsidR="00000000" w:rsidRDefault="00135934">
      <w:pPr>
        <w:pStyle w:val="Heading1"/>
      </w:pPr>
      <w:r>
        <w:t xml:space="preserve">Γ. Στο σπίτι 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Οι μαθητές έχουν τη δυνατότητα να κάνουν τη ογκομέτρηση του ελαιολάδου που έχουν σπίτι τους. Αρκεί να τους δώσουμε:</w:t>
      </w:r>
    </w:p>
    <w:p w:rsidR="00000000" w:rsidRDefault="00135934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Δοκιμαστικό σωλήνα όπου έχει σημειωθεί με ανεξίτη</w:t>
      </w:r>
      <w:r>
        <w:rPr>
          <w:rFonts w:ascii="Times New Roman" w:hAnsi="Times New Roman"/>
        </w:rPr>
        <w:t xml:space="preserve">λο μαρκαδόρο ένδειξη για μέτρηση όγκου 11 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και στον οποίο έχουμε προσθέσει σταγόνες φαινολοφθαλεΐνης.</w:t>
      </w:r>
    </w:p>
    <w:p w:rsidR="00000000" w:rsidRDefault="00135934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Πρότυπο διάλυμα </w:t>
      </w:r>
      <w:r>
        <w:rPr>
          <w:rFonts w:ascii="Times New Roman" w:hAnsi="Times New Roman"/>
          <w:lang w:val="en-US"/>
        </w:rPr>
        <w:t>NaOH</w:t>
      </w:r>
      <w:r>
        <w:rPr>
          <w:rFonts w:ascii="Times New Roman" w:hAnsi="Times New Roman"/>
        </w:rPr>
        <w:t xml:space="preserve"> 0,357</w:t>
      </w:r>
      <w:r>
        <w:rPr>
          <w:rFonts w:ascii="Times New Roman" w:hAnsi="Times New Roman"/>
          <w:lang w:val="en-US"/>
        </w:rPr>
        <w:t>M</w:t>
      </w:r>
      <w:r>
        <w:rPr>
          <w:rFonts w:ascii="Times New Roman" w:hAnsi="Times New Roman"/>
        </w:rPr>
        <w:t xml:space="preserve"> μέσα σε σύριγγα των 10</w:t>
      </w:r>
      <w:r>
        <w:rPr>
          <w:rFonts w:ascii="Times New Roman" w:hAnsi="Times New Roman"/>
          <w:lang w:val="en-US"/>
        </w:rPr>
        <w:t>mL</w:t>
      </w:r>
      <w:r>
        <w:rPr>
          <w:rFonts w:ascii="Times New Roman" w:hAnsi="Times New Roman"/>
        </w:rPr>
        <w:t xml:space="preserve"> (χωρίς βελόνα).</w:t>
      </w: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jc w:val="both"/>
        <w:rPr>
          <w:rFonts w:ascii="Times New Roman" w:hAnsi="Times New Roman"/>
        </w:rPr>
      </w:pPr>
    </w:p>
    <w:p w:rsidR="00000000" w:rsidRDefault="00135934">
      <w:pPr>
        <w:pStyle w:val="Heading2"/>
      </w:pPr>
      <w:r>
        <w:t>Ποιότητες ελαιολάδου</w:t>
      </w:r>
    </w:p>
    <w:p w:rsidR="00000000" w:rsidRDefault="00135934">
      <w:pPr>
        <w:pStyle w:val="BodyText2"/>
        <w:spacing w:before="120"/>
        <w:ind w:left="737" w:right="54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  </w:t>
      </w:r>
    </w:p>
    <w:p w:rsidR="00000000" w:rsidRDefault="00135934">
      <w:pPr>
        <w:jc w:val="both"/>
        <w:rPr>
          <w:rFonts w:ascii="Times New Roman" w:hAnsi="Times New Roman"/>
          <w:b/>
          <w:lang w:val="it-IT"/>
        </w:rPr>
      </w:pPr>
      <w:r>
        <w:rPr>
          <w:rFonts w:ascii="Times New Roman" w:hAnsi="Times New Roman"/>
          <w:b/>
        </w:rPr>
        <w:t>1. Εξαιρετικό παρθένο ελαιόλαδο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</w:rPr>
        <w:t>είναι παρθένο ελαιόλαδο</w:t>
      </w:r>
      <w:r>
        <w:rPr>
          <w:rFonts w:ascii="Times New Roman" w:hAnsi="Times New Roman"/>
        </w:rPr>
        <w:t>, δηλ. ελαιόλαδο που έχει παραχθεί μόνο με φυσικές και μηχανικές διαδικασίες, με τέλειο άρωμα και γεύση, με ελεύθερη οξύτητα όχι μεγαλύτερη από 0,8% και με άλλα χαρακτηριστικά σύμφωνα με αυτά που προβλέπονται στον Κανονισμό 2568/91 της Κοινότητας</w:t>
      </w:r>
      <w:r>
        <w:rPr>
          <w:rFonts w:ascii="Times New Roman" w:hAnsi="Times New Roman"/>
          <w:b/>
        </w:rPr>
        <w:t xml:space="preserve">. </w:t>
      </w:r>
    </w:p>
    <w:p w:rsidR="00000000" w:rsidRDefault="00135934">
      <w:pPr>
        <w:jc w:val="both"/>
        <w:rPr>
          <w:rFonts w:ascii="Times New Roman" w:hAnsi="Times New Roman"/>
          <w:lang w:val="it-IT"/>
        </w:rPr>
      </w:pPr>
      <w:r>
        <w:rPr>
          <w:rFonts w:ascii="Times New Roman" w:hAnsi="Times New Roman"/>
          <w:b/>
        </w:rPr>
        <w:t>2. Παρθ</w:t>
      </w:r>
      <w:r>
        <w:rPr>
          <w:rFonts w:ascii="Times New Roman" w:hAnsi="Times New Roman"/>
          <w:b/>
        </w:rPr>
        <w:t>ένο ελαιόλαδο</w:t>
      </w:r>
      <w:r>
        <w:rPr>
          <w:rFonts w:ascii="Times New Roman" w:hAnsi="Times New Roman"/>
          <w:b/>
          <w:lang w:val="it-IT"/>
        </w:rPr>
        <w:t xml:space="preserve"> </w:t>
      </w:r>
      <w:r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>είναι παρθένο ελαιόλαδο, δηλ. ελαιόλαδο που έχει παραχθεί μόνο με φυσικές και μηχανικές διαδικασίες, με καλά οργανοληπτικά χαρακτηριστικά, με ελεύθερη οξύτητα όχι μεγαλύτερη από 2,0% και με άλλα χαρακτηριστικά σύμφωνα με αυτά που προβλέποντ</w:t>
      </w:r>
      <w:r>
        <w:rPr>
          <w:rFonts w:ascii="Times New Roman" w:hAnsi="Times New Roman"/>
        </w:rPr>
        <w:t xml:space="preserve">αι στον Κανονισμό 2568/91 της Κοινότητας. </w:t>
      </w:r>
    </w:p>
    <w:p w:rsidR="00000000" w:rsidRDefault="00135934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Ελαιόλαδο :</w:t>
      </w:r>
      <w:r>
        <w:rPr>
          <w:rFonts w:ascii="Times New Roman" w:hAnsi="Times New Roman"/>
        </w:rPr>
        <w:t xml:space="preserve"> είναι το μείγμα εξευγενισμένου ελαιολάδου και βρώσιμου παρθένου ελαιολάδου με οξύτητα όχι μεγαλύτερη από 1,5%. Το εξευγενισμένο ελαιόλαδο παραλαμβάνεται με εξευγενισμό (εξουδετέρωση, απόσμηση, αποχρ</w:t>
      </w:r>
      <w:r>
        <w:rPr>
          <w:rFonts w:ascii="Times New Roman" w:hAnsi="Times New Roman"/>
        </w:rPr>
        <w:t>ωματισμό) του μειονεκτικού παρθένου ελαιολάδου</w:t>
      </w:r>
      <w:r>
        <w:rPr>
          <w:rFonts w:ascii="Times New Roman" w:hAnsi="Times New Roman"/>
          <w:b/>
        </w:rPr>
        <w:t xml:space="preserve">. </w:t>
      </w:r>
    </w:p>
    <w:p w:rsidR="00000000" w:rsidRDefault="0013593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 Πυρηνέλαιο : </w:t>
      </w:r>
      <w:r>
        <w:rPr>
          <w:rFonts w:ascii="Times New Roman" w:hAnsi="Times New Roman"/>
        </w:rPr>
        <w:t>είναι το μείγμα εξευγενισμένου πυρηνελαίου και βρώσιμου παρθένου ελαιολάδου με οξύτητα όχι μεγαλύτερη από 1,5%. Το εξευγενισμένο πυρηνέλαιο παραλαμβάνεται με εξευγενισμό του ακατέργαστου πυρη</w:t>
      </w:r>
      <w:r>
        <w:rPr>
          <w:rFonts w:ascii="Times New Roman" w:hAnsi="Times New Roman"/>
        </w:rPr>
        <w:t xml:space="preserve">νελαίου. </w:t>
      </w:r>
    </w:p>
    <w:p w:rsidR="00000000" w:rsidRDefault="00135934">
      <w:pPr>
        <w:spacing w:line="360" w:lineRule="auto"/>
        <w:jc w:val="both"/>
        <w:rPr>
          <w:rFonts w:ascii="Times New Roman" w:hAnsi="Times New Roman"/>
          <w:lang w:val="it-IT"/>
        </w:rPr>
      </w:pPr>
    </w:p>
    <w:p w:rsidR="00135934" w:rsidRDefault="00135934">
      <w:pPr>
        <w:spacing w:line="360" w:lineRule="auto"/>
        <w:jc w:val="both"/>
        <w:rPr>
          <w:rFonts w:ascii="Times New Roman" w:hAnsi="Times New Roman"/>
          <w:lang w:val="it-IT"/>
        </w:rPr>
      </w:pPr>
    </w:p>
    <w:sectPr w:rsidR="00135934">
      <w:headerReference w:type="default" r:id="rId9"/>
      <w:footerReference w:type="defaul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5934" w:rsidRDefault="00135934">
      <w:r>
        <w:separator/>
      </w:r>
    </w:p>
  </w:endnote>
  <w:endnote w:type="continuationSeparator" w:id="1">
    <w:p w:rsidR="00135934" w:rsidRDefault="001359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934">
    <w:pPr>
      <w:pStyle w:val="Footer"/>
      <w:rPr>
        <w:lang w:val="en-US"/>
      </w:rPr>
    </w:pPr>
    <w:r>
      <w:rPr>
        <w:sz w:val="16"/>
      </w:rPr>
      <w:t>ΟΞΥΤΗΤΑ ΕΛΑΙΟΛΑΔΟΥ</w:t>
    </w:r>
    <w:r>
      <w:rPr>
        <w:sz w:val="16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14393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5934" w:rsidRDefault="00135934">
      <w:r>
        <w:separator/>
      </w:r>
    </w:p>
  </w:footnote>
  <w:footnote w:type="continuationSeparator" w:id="1">
    <w:p w:rsidR="00135934" w:rsidRDefault="001359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135934">
    <w:pPr>
      <w:pStyle w:val="Header"/>
      <w:jc w:val="center"/>
    </w:pPr>
    <w:r>
      <w:rPr>
        <w:sz w:val="16"/>
      </w:rPr>
      <w:t>ΕΚΦΕ Δ΄ Δ/ΝΣΗΣ ΔΕΥΤ/ΘΜΙΑΣ ΕΚΠ/ΣΗΣ ΑΘΗΝΑΣ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77785"/>
    <w:multiLevelType w:val="singleLevel"/>
    <w:tmpl w:val="6450AE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6E533DA8"/>
    <w:multiLevelType w:val="singleLevel"/>
    <w:tmpl w:val="6450AEC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4393"/>
    <w:rsid w:val="00135934"/>
    <w:rsid w:val="00414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Bookman Old Style" w:hAnsi="Bookman Old Style"/>
      <w:sz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Κείμενο πλαισίου"/>
    <w:basedOn w:val="Normal"/>
    <w:semiHidden/>
    <w:rPr>
      <w:rFonts w:ascii="Tahoma" w:hAnsi="Tahoma"/>
      <w:sz w:val="16"/>
      <w:szCs w:val="16"/>
    </w:rPr>
  </w:style>
  <w:style w:type="paragraph" w:styleId="BodyText">
    <w:name w:val="Body Text"/>
    <w:basedOn w:val="Normal"/>
    <w:semiHidden/>
    <w:pPr>
      <w:jc w:val="both"/>
    </w:pPr>
    <w:rPr>
      <w:rFonts w:ascii="Arial" w:hAnsi="Arial" w:cs="Arial"/>
      <w:szCs w:val="24"/>
    </w:rPr>
  </w:style>
  <w:style w:type="paragraph" w:styleId="BodyText2">
    <w:name w:val="Body Text 2"/>
    <w:basedOn w:val="Normal"/>
    <w:semiHidden/>
    <w:rPr>
      <w:rFonts w:ascii="Arial" w:hAnsi="Arial" w:cs="Arial"/>
      <w:sz w:val="22"/>
      <w:szCs w:val="24"/>
    </w:rPr>
  </w:style>
  <w:style w:type="paragraph" w:styleId="BodyTextIndent">
    <w:name w:val="Body Text Indent"/>
    <w:basedOn w:val="Normal"/>
    <w:semiHidden/>
    <w:pPr>
      <w:ind w:firstLine="720"/>
      <w:jc w:val="both"/>
    </w:pPr>
    <w:rPr>
      <w:rFonts w:ascii="Times New Roman" w:hAnsi="Times New Roman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36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Με την ευκαιρία πραγματοποίησης εργαστηριακής άσκησης στούς μαθητές της θετικής κατεύθυνσης της Γ΄τάξης  Eν</vt:lpstr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Με την ευκαιρία πραγματοποίησης εργαστηριακής άσκησης στούς μαθητές της θετικής κατεύθυνσης της Γ΄τάξης  Eν</dc:title>
  <dc:creator>zeus</dc:creator>
  <cp:lastModifiedBy>CH</cp:lastModifiedBy>
  <cp:revision>2</cp:revision>
  <cp:lastPrinted>2005-10-23T09:54:00Z</cp:lastPrinted>
  <dcterms:created xsi:type="dcterms:W3CDTF">2015-01-19T20:25:00Z</dcterms:created>
  <dcterms:modified xsi:type="dcterms:W3CDTF">2015-01-19T20:25:00Z</dcterms:modified>
</cp:coreProperties>
</file>